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ackground w:color="FFFFFF"/>
  <w:body>
    <w:p w:rsidR="00000000" w:rsidDel="00000000" w:rsidP="00000000" w:rsidRDefault="00000000" w:rsidRPr="00000000" w14:paraId="00000001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Pacific Grove Adult Education (PGAE) 2024-2025 Carryover Expenditure Plan:</w:t>
      </w:r>
    </w:p>
    <w:p w:rsidR="00000000" w:rsidDel="00000000" w:rsidP="00000000" w:rsidRDefault="00000000" w:rsidRPr="00000000" w14:paraId="00000002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Carry Over Funding to be Allocated: $636,857</w:t>
      </w:r>
    </w:p>
    <w:tbl>
      <w:tblPr>
        <w:tblStyle w:val="Table1"/>
        <w:tblW w:w="14580.0" w:type="dxa"/>
        <w:jc w:val="left"/>
        <w:tblInd w:w="-1005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745"/>
        <w:gridCol w:w="1235.0000000000005"/>
        <w:gridCol w:w="1419.9999999999995"/>
        <w:gridCol w:w="1425"/>
        <w:gridCol w:w="1395"/>
        <w:gridCol w:w="4275"/>
        <w:gridCol w:w="2085"/>
        <w:tblGridChange w:id="0">
          <w:tblGrid>
            <w:gridCol w:w="2745"/>
            <w:gridCol w:w="1235.0000000000005"/>
            <w:gridCol w:w="1419.9999999999995"/>
            <w:gridCol w:w="1425"/>
            <w:gridCol w:w="1395"/>
            <w:gridCol w:w="4275"/>
            <w:gridCol w:w="2085"/>
          </w:tblGrid>
        </w:tblGridChange>
      </w:tblGrid>
      <w:tr>
        <w:trPr>
          <w:cantSplit w:val="0"/>
          <w:trHeight w:val="420" w:hRule="atLeast"/>
          <w:tblHeader w:val="0"/>
        </w:trPr>
        <w:tc>
          <w:tcPr>
            <w:gridSpan w:val="7"/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One Time Cost Projects:</w:t>
            </w:r>
          </w:p>
        </w:tc>
      </w:tr>
      <w:tr>
        <w:trPr>
          <w:cantSplit w:val="0"/>
          <w:tblHeader w:val="0"/>
        </w:trPr>
        <w:tc>
          <w:tcPr>
            <w:shd w:fill="fff2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Item: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2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Budgeted</w:t>
            </w:r>
            <w:r w:rsidDel="00000000" w:rsidR="00000000" w:rsidRPr="00000000">
              <w:rPr>
                <w:b w:val="1"/>
                <w:rtl w:val="0"/>
              </w:rPr>
              <w:t xml:space="preserve"> Cost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2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YTD Cost: </w:t>
            </w:r>
          </w:p>
        </w:tc>
        <w:tc>
          <w:tcPr>
            <w:shd w:fill="fff2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Budget Category </w:t>
            </w:r>
          </w:p>
        </w:tc>
        <w:tc>
          <w:tcPr>
            <w:shd w:fill="fff2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Progress</w:t>
            </w:r>
          </w:p>
        </w:tc>
        <w:tc>
          <w:tcPr>
            <w:shd w:fill="fff2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Details of Project:</w:t>
            </w:r>
          </w:p>
        </w:tc>
        <w:tc>
          <w:tcPr>
            <w:shd w:fill="fff2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Est Completion Date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Portable needed to expand CTE program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110,000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28,800 + 25,625 encumbered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6000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In progress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In planning phase (costs this year include land survey and architect schematic and quotes)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This phase should be completed by June 2025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Computer Lab upgrade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8,000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8,000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5000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Complete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Updated instructional technology and equipment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July 2024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IPP Hospitality Pathway equipment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26,000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6000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In progress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Schematics, permits, quotes and purchasing in progress for coffee cart and cafe kitchen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June 2025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Parent Education/Engagement training contract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14,100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14,100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5000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Complete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PGAE and Monterey Adult School</w:t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PGAE in collaboration with MAS to provide Parent Education Classes for Student Success, covered this expenditure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May 2025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Parent Education/Engagement curriculum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17,265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17,300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5000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Complete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PGAE and Monterey Adult School</w:t>
            </w:r>
          </w:p>
          <w:p w:rsidR="00000000" w:rsidDel="00000000" w:rsidP="00000000" w:rsidRDefault="00000000" w:rsidRPr="00000000" w14:paraId="00000034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PGAE in collaboration with MAS to provide Parent Education Classes for Student Success, covered this expenditure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May 2025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Parent Education/Engagement supplies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2,000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500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4000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In progress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Materials and supplies needed for parent trainings at PGAE</w:t>
            </w:r>
          </w:p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May 2025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Professional Development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43,000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10,483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5000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In progress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CAEP Summit, CATESOL, CalPro, TESOL, ACSA, CCAE, CASAS, Family Leadership, CPR/First Aid, Van Driver Training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June 2025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MPAEC Needs Assessment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11,250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11,250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5000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In progress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Pedroso Consulting contract (¼) for needs assessment to inform consortium 3-year plan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April 2025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Entravision advertising campaign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13,350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5,350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5000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In progress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Portion of summer/fall 2024 campaign ($5,350) and new 2025 Entravision contract (⅓ = $8K) (one phase of campaign in March-April, second phase in July-Sept) for regional MPAEC advertising in English and Spanish via TV, radio, and digital advertising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September 2025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N&amp;R Publications marketing campaign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26,000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5000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In progress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N&amp;R Publications contract for articles and digital and print publications to highlight PGAE programs and student success stories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7"/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Personnel and/or Ongoing Expenditures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Parent Education/Engagement instructors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25,139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3,361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1000-3000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In Progress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Instruction for parent train-the-trainer classes at PGAE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8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Salary/Benefit increases in 24/25 school year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340,753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1000-3000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C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In Progress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Difference between .88% CAEP COLA and PGUSD COLA (4.87%) -- total was $483,971, using carryover to cover part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E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6"/>
            <w:shd w:fill="fff2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2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6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Estimated Totals: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636,857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A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rPr/>
      </w:pPr>
      <w:r w:rsidDel="00000000" w:rsidR="00000000" w:rsidRPr="00000000">
        <w:rPr>
          <w:rtl w:val="0"/>
        </w:rPr>
        <w:t xml:space="preserve">One time costs/projects: $270,965</w:t>
      </w:r>
    </w:p>
    <w:p w:rsidR="00000000" w:rsidDel="00000000" w:rsidP="00000000" w:rsidRDefault="00000000" w:rsidRPr="00000000" w14:paraId="0000007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rPr/>
      </w:pPr>
      <w:r w:rsidDel="00000000" w:rsidR="00000000" w:rsidRPr="00000000">
        <w:rPr>
          <w:rtl w:val="0"/>
        </w:rPr>
        <w:t xml:space="preserve">Personnel ongoing: $365,892 (includes a large portion of 24-25 sal/ben increases; hopefully we’ll have a bigger COLA in 25-26 (projected 2.43% based on CAEP preliminary budget))  To help cover the cost of this increase in expenditures.</w:t>
      </w:r>
    </w:p>
    <w:p w:rsidR="00000000" w:rsidDel="00000000" w:rsidP="00000000" w:rsidRDefault="00000000" w:rsidRPr="00000000" w14:paraId="0000008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*PGAE total budget expenditures are at 58% spent YTD on track to expend 100% at the end of Q4.  Technically, we have spent down all 23/24 carryover according to our FIFO report in NOVA.</w:t>
      </w:r>
    </w:p>
    <w:sectPr>
      <w:pgSz w:h="12240" w:w="15840" w:orient="landscape"/>
      <w:pgMar w:bottom="720" w:top="72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